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– MODELO DE DECLARAÇÃO DA ÁREA DE GESTÃO DE PESSOAS</w:t>
      </w:r>
    </w:p>
    <w:tbl>
      <w:tblPr>
        <w:tblStyle w:val="Table1"/>
        <w:tblW w:w="85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DECLARAÇÃO</w:t>
            </w:r>
          </w:p>
          <w:p w:rsidR="00000000" w:rsidDel="00000000" w:rsidP="00000000" w:rsidRDefault="00000000" w:rsidRPr="00000000" w14:paraId="00000003">
            <w:pPr>
              <w:spacing w:after="0" w:line="276" w:lineRule="auto"/>
              <w:ind w:left="7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Declaro para fins de comprovação para o Processo Seletivo regido pelo Edital SCRI/Mapa nº 01/2023, de 05 de junho de 2023, a pedido do(a) servidor(a)  ____________________________, matrícula SIAPE nº _________, ocupante do cargo efetivo de ___________________________, deste Ministério/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EMBRAPA</w:t>
            </w:r>
            <w:r w:rsidDel="00000000" w:rsidR="00000000" w:rsidRPr="00000000">
              <w:rPr>
                <w:color w:val="000000"/>
                <w:rtl w:val="0"/>
              </w:rPr>
              <w:t xml:space="preserve">, à vista do contido no processo nº_____________________, o seguinte:</w:t>
            </w:r>
          </w:p>
          <w:p w:rsidR="00000000" w:rsidDel="00000000" w:rsidP="00000000" w:rsidRDefault="00000000" w:rsidRPr="00000000" w14:paraId="00000005">
            <w:pPr>
              <w:numPr>
                <w:ilvl w:val="1"/>
                <w:numId w:val="1"/>
              </w:numPr>
              <w:spacing w:after="0" w:line="276" w:lineRule="auto"/>
              <w:ind w:left="144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Pela Portaria Ministerial nº_____, publicada no Diário Oficial de __ de ________ de ______, foi nomeado para exercer o cargo efetivo de ______________________, em virtude de habilitação em concurso público, tomou posse e entrou em exercício em ___ de _______ de _______.</w:t>
            </w:r>
          </w:p>
          <w:p w:rsidR="00000000" w:rsidDel="00000000" w:rsidP="00000000" w:rsidRDefault="00000000" w:rsidRPr="00000000" w14:paraId="00000006">
            <w:pPr>
              <w:spacing w:after="0" w:line="276" w:lineRule="auto"/>
              <w:ind w:left="144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Cargos em comissão de funções de confiança exercidas:</w:t>
            </w:r>
          </w:p>
          <w:p w:rsidR="00000000" w:rsidDel="00000000" w:rsidP="00000000" w:rsidRDefault="00000000" w:rsidRPr="00000000" w14:paraId="00000008">
            <w:pPr>
              <w:numPr>
                <w:ilvl w:val="1"/>
                <w:numId w:val="1"/>
              </w:numPr>
              <w:spacing w:after="0" w:line="276" w:lineRule="auto"/>
              <w:ind w:left="144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CARGO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)</w:t>
            </w:r>
            <w:r w:rsidDel="00000000" w:rsidR="00000000" w:rsidRPr="00000000">
              <w:rPr>
                <w:color w:val="000000"/>
                <w:rtl w:val="0"/>
              </w:rPr>
              <w:t xml:space="preserve">, código CCE ou FCE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CÓDIGO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)</w:t>
            </w:r>
            <w:r w:rsidDel="00000000" w:rsidR="00000000" w:rsidRPr="00000000">
              <w:rPr>
                <w:color w:val="000000"/>
                <w:rtl w:val="0"/>
              </w:rPr>
              <w:t xml:space="preserve">, da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LOTAÇÃO ONDE EXERCEU A FUNÇÃO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)</w:t>
            </w:r>
            <w:r w:rsidDel="00000000" w:rsidR="00000000" w:rsidRPr="00000000">
              <w:rPr>
                <w:color w:val="000000"/>
                <w:rtl w:val="0"/>
              </w:rPr>
              <w:t xml:space="preserve">, do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DEPARTAMENTO ONDE EXERCEU A FUNÇÃO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)</w:t>
            </w:r>
            <w:r w:rsidDel="00000000" w:rsidR="00000000" w:rsidRPr="00000000">
              <w:rPr>
                <w:color w:val="000000"/>
                <w:rtl w:val="0"/>
              </w:rPr>
              <w:t xml:space="preserve">, da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UNIDADE ONDE EXERCEU A FUNÇÃO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)</w:t>
            </w:r>
            <w:r w:rsidDel="00000000" w:rsidR="00000000" w:rsidRPr="00000000">
              <w:rPr>
                <w:color w:val="000000"/>
                <w:rtl w:val="0"/>
              </w:rPr>
              <w:t xml:space="preserve">, de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 (dia)</w:t>
            </w:r>
            <w:r w:rsidDel="00000000" w:rsidR="00000000" w:rsidRPr="00000000">
              <w:rPr>
                <w:color w:val="000000"/>
                <w:rtl w:val="0"/>
              </w:rPr>
              <w:t xml:space="preserve"> de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(mês)</w:t>
            </w:r>
            <w:r w:rsidDel="00000000" w:rsidR="00000000" w:rsidRPr="00000000">
              <w:rPr>
                <w:color w:val="000000"/>
                <w:rtl w:val="0"/>
              </w:rPr>
              <w:t xml:space="preserve"> de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(ano)</w:t>
            </w:r>
            <w:r w:rsidDel="00000000" w:rsidR="00000000" w:rsidRPr="00000000">
              <w:rPr>
                <w:color w:val="000000"/>
                <w:rtl w:val="0"/>
              </w:rPr>
              <w:t xml:space="preserve"> a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(dia)</w:t>
            </w:r>
            <w:r w:rsidDel="00000000" w:rsidR="00000000" w:rsidRPr="00000000">
              <w:rPr>
                <w:color w:val="000000"/>
                <w:rtl w:val="0"/>
              </w:rPr>
              <w:t xml:space="preserve"> de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(mês)</w:t>
            </w:r>
            <w:r w:rsidDel="00000000" w:rsidR="00000000" w:rsidRPr="00000000">
              <w:rPr>
                <w:color w:val="000000"/>
                <w:rtl w:val="0"/>
              </w:rPr>
              <w:t xml:space="preserve"> de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(ano)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spacing w:after="0" w:line="276" w:lineRule="auto"/>
              <w:ind w:left="144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Pautando-se no teor da Portaria no 121, de 27/03/2019, que dispõe sobre a equivalência entre os cargos em comissão Cargo Comissionado Executivo - CCE e Função Comissionada Executiva - FCE  do Poder Executivo Federal com os cargos e funções integrantes da Administração Pública Federal direta e indireta, a função de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CARGO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)</w:t>
            </w:r>
            <w:r w:rsidDel="00000000" w:rsidR="00000000" w:rsidRPr="00000000">
              <w:rPr>
                <w:color w:val="000000"/>
                <w:rtl w:val="0"/>
              </w:rPr>
              <w:t xml:space="preserve">, equivalente a função CCE ou FCE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CÓDIGO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)</w:t>
            </w:r>
            <w:r w:rsidDel="00000000" w:rsidR="00000000" w:rsidRPr="00000000">
              <w:rPr>
                <w:color w:val="000000"/>
                <w:rtl w:val="0"/>
              </w:rPr>
              <w:t xml:space="preserve">, de ____ de _________ de ____ a ___ de ______ de ____.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À vista do cadastro extraído do sistema SIAPE, o referido servidor esteve lotado na Secretaria de Comércio e Relações Internacionais, no período de ___ de _________ de ____ a ___ de ________ de _____.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 acordo com o mapa de tempo de serviço extraído do sistema e-siape o servidor conta com (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NÚMERO POR EXTENSO</w:t>
            </w:r>
            <w:r w:rsidDel="00000000" w:rsidR="00000000" w:rsidRPr="00000000">
              <w:rPr>
                <w:color w:val="000000"/>
                <w:rtl w:val="0"/>
              </w:rPr>
              <w:t xml:space="preserve">) dias, ou seja: (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NÚMERO POR EXTENSO</w:t>
            </w:r>
            <w:r w:rsidDel="00000000" w:rsidR="00000000" w:rsidRPr="00000000">
              <w:rPr>
                <w:color w:val="000000"/>
                <w:rtl w:val="0"/>
              </w:rPr>
              <w:t xml:space="preserve">) anos, (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NÚMERO POR EXTENSO</w:t>
            </w:r>
            <w:r w:rsidDel="00000000" w:rsidR="00000000" w:rsidRPr="00000000">
              <w:rPr>
                <w:color w:val="000000"/>
                <w:rtl w:val="0"/>
              </w:rPr>
              <w:t xml:space="preserve">) meses e (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NÚMERO POR EXTENSO</w:t>
            </w:r>
            <w:r w:rsidDel="00000000" w:rsidR="00000000" w:rsidRPr="00000000">
              <w:rPr>
                <w:color w:val="000000"/>
                <w:rtl w:val="0"/>
              </w:rPr>
              <w:t xml:space="preserve">) dias de efetivo exercício.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Declaro ainda que pesquisando o mesmo sistema, não consta averbação de tempo de serviço anterior ao ingresso neste Ministério.</w:t>
            </w:r>
          </w:p>
          <w:p w:rsidR="00000000" w:rsidDel="00000000" w:rsidP="00000000" w:rsidRDefault="00000000" w:rsidRPr="00000000" w14:paraId="0000000D">
            <w:pPr>
              <w:spacing w:after="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Assinatura do Departamento de Gestão de Pessoas</w:t>
            </w:r>
          </w:p>
        </w:tc>
      </w:tr>
    </w:tbl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